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</w:pPr>
    </w:p>
    <w:p w:rsidR="00D83D58" w:rsidRP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  <w:t xml:space="preserve">Цены </w:t>
      </w:r>
    </w:p>
    <w:p w:rsidR="00D83D58" w:rsidRP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  <w:t xml:space="preserve">на платные услуги </w:t>
      </w:r>
    </w:p>
    <w:p w:rsidR="00D83D58" w:rsidRP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215868" w:themeColor="accent5" w:themeShade="80"/>
          <w:sz w:val="76"/>
          <w:szCs w:val="76"/>
        </w:rPr>
        <w:t xml:space="preserve">курорта «Горячинск» </w:t>
      </w:r>
    </w:p>
    <w:p w:rsidR="00A456F4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</w:pPr>
      <w:r w:rsidRPr="00D83D58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 xml:space="preserve">с </w:t>
      </w:r>
      <w:r w:rsidR="00B6204F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09</w:t>
      </w:r>
      <w:r w:rsidR="003373F0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 xml:space="preserve"> </w:t>
      </w:r>
      <w:r w:rsidR="00B6204F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январ</w:t>
      </w:r>
      <w:r w:rsidRPr="00D83D58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 xml:space="preserve">я по 30 </w:t>
      </w:r>
      <w:r w:rsidR="00B6204F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июн</w:t>
      </w:r>
      <w:r w:rsidRPr="00D83D58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я 201</w:t>
      </w:r>
      <w:r w:rsidR="00B6204F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8</w:t>
      </w:r>
      <w:r w:rsidRPr="00D83D58"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>года</w:t>
      </w:r>
    </w:p>
    <w:p w:rsid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</w:pPr>
    </w:p>
    <w:p w:rsid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B8E9E" wp14:editId="00DB118E">
            <wp:simplePos x="0" y="0"/>
            <wp:positionH relativeFrom="column">
              <wp:posOffset>433705</wp:posOffset>
            </wp:positionH>
            <wp:positionV relativeFrom="paragraph">
              <wp:posOffset>294640</wp:posOffset>
            </wp:positionV>
            <wp:extent cx="5828030" cy="3143250"/>
            <wp:effectExtent l="209550" t="419100" r="210820" b="419100"/>
            <wp:wrapNone/>
            <wp:docPr id="1" name="Рисунок 1" descr="\\ADMINBK\documents\Тимофеев\ЛоготГор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BK\documents\Тимофеев\ЛоготГоря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71">
                      <a:off x="0" y="0"/>
                      <a:ext cx="58280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  <w:tab/>
      </w:r>
    </w:p>
    <w:p w:rsidR="00D83D58" w:rsidRDefault="00D83D58" w:rsidP="00D83D58">
      <w:pPr>
        <w:jc w:val="center"/>
        <w:rPr>
          <w:rFonts w:ascii="Times New Roman" w:hAnsi="Times New Roman" w:cs="Times New Roman"/>
          <w:b/>
          <w:color w:val="215868" w:themeColor="accent5" w:themeShade="80"/>
          <w:sz w:val="60"/>
          <w:szCs w:val="60"/>
        </w:rPr>
      </w:pPr>
    </w:p>
    <w:p w:rsidR="00D83D58" w:rsidRDefault="00D83D58" w:rsidP="00D83D58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</w:pPr>
      <w:r w:rsidRPr="00D83D58"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  <w:t>Вы отдыхаете – Мы работаем!</w:t>
      </w:r>
    </w:p>
    <w:p w:rsidR="003373F0" w:rsidRDefault="003373F0" w:rsidP="00D83D58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</w:pPr>
    </w:p>
    <w:tbl>
      <w:tblPr>
        <w:tblpPr w:leftFromText="180" w:rightFromText="180" w:vertAnchor="text" w:horzAnchor="margin" w:tblpY="584"/>
        <w:tblW w:w="11028" w:type="dxa"/>
        <w:tblLook w:val="04A0" w:firstRow="1" w:lastRow="0" w:firstColumn="1" w:lastColumn="0" w:noHBand="0" w:noVBand="1"/>
      </w:tblPr>
      <w:tblGrid>
        <w:gridCol w:w="2426"/>
        <w:gridCol w:w="356"/>
        <w:gridCol w:w="761"/>
        <w:gridCol w:w="1256"/>
        <w:gridCol w:w="1325"/>
        <w:gridCol w:w="528"/>
        <w:gridCol w:w="2966"/>
        <w:gridCol w:w="1134"/>
        <w:gridCol w:w="276"/>
      </w:tblGrid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ПЛАТНЫЕ МЕДИЦИНСКИЕ УСЛУГИ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B620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.0</w:t>
            </w:r>
            <w:r w:rsidR="00B620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AE00E1" w:rsidRPr="007579CF" w:rsidRDefault="00AE00E1" w:rsidP="00B6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30.</w:t>
            </w:r>
            <w:r w:rsidR="00B620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06</w:t>
            </w:r>
            <w:r w:rsidRPr="007579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.201</w:t>
            </w:r>
            <w:r w:rsidR="00B620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МАССАЖЫЙ КАБИНЕТ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50 минут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головы.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области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грудной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 брюшной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 поясничной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позвоночника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Вибромассаж 15 минут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Грэвитрин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Грэвитрин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массажный стол 15 мин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 до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6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Ceragem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массажная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кушетка, 40 мин.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мягкой теплоты, 7 мин. "Гнездо-Здоровья"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ind w:right="-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мин.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Спецкомплект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Ctragem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укрывание (серебро)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Goodie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Cushion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спроектированная накладка, 7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массаж для детей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 14 лет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AE00E1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Дэнас</w:t>
            </w:r>
            <w:proofErr w:type="spellEnd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Вертебра</w:t>
            </w:r>
            <w:proofErr w:type="spellEnd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"</w:t>
            </w:r>
            <w:proofErr w:type="spellStart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Vaertaebre</w:t>
            </w:r>
            <w:proofErr w:type="spellEnd"/>
            <w:r w:rsidRPr="00AE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 позвоночника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спины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шейного, грудного или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 отделов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спины малой площади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одводное вертикальное вытяжение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роцедура озоном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 озоном "Берет"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 озоном "рука, нога"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озонированная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B6204F">
        <w:trPr>
          <w:trHeight w:val="315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B6204F">
        <w:trPr>
          <w:trHeight w:val="315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AE00E1" w:rsidRPr="007579CF" w:rsidTr="00B6204F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КОНСУЛЬТАТИВНЫЙ ПРИЕМ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 (первичный прием)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 (повторный прием)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138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7138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ВОДОЛЕЧЕБНИЦА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Минеральная ванна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Вихревая ванна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душ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Десневое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орошение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итованна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Аршан"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одобромная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м/элементами"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анаторная ванна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камерная 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(руки, ноги)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грязевые аппликации (детские)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тампоны ректальные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тампоны гинекологические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138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7138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138" w:rsidRPr="007579CF" w:rsidRDefault="005C7138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0E1" w:rsidRPr="007579CF" w:rsidTr="00AE00E1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5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(ЛФК) 30 мин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(ЛФК) 30  мин</w:t>
            </w:r>
            <w:r w:rsidR="005C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кандинавская ходьба 1 сеанс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кандинавская ходьба 3 сеанса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кандинавская ходьба 5 сеансов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кандинавская ходьба 7 сеансов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кандинавская ходьба 9 сеансов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(60</w:t>
            </w:r>
            <w:r w:rsidR="00B4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иловой тренажер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Weider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иловой тренажер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Trelner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</w:t>
            </w:r>
            <w:r w:rsidR="00B4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беговая дорожка (30 мин)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елотренажер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Kettltr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Велоэлипсоид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 тренажер (30 мин)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для пресса (30 мин)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комната 1 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мастерская 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мастерская 100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мастерская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ФИЗИОТЕРАПЕВТИЧЕСКИЙ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Ароматерапия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Ингаляция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E00E1" w:rsidRPr="007579CF" w:rsidTr="004D38EF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E00E1" w:rsidRPr="007579CF" w:rsidTr="004D38EF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Лазератерапия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 "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Луч"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00E1" w:rsidRPr="007579CF" w:rsidTr="00AE00E1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СМВ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 "Стелла 1"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 "Стелла 2"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стакан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1 ст</w:t>
            </w:r>
            <w:r w:rsidR="00B4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00E1" w:rsidRPr="007579CF" w:rsidTr="004D38EF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00E1" w:rsidRPr="007579CF" w:rsidTr="004D38EF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кислые ванны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Диамаг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B4058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Д*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Арсонваль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Иглотерапия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Гирудотерапия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пиявка 1 шт</w:t>
            </w:r>
            <w:r w:rsidR="00B4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B4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(не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4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B4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сеанс)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Очистительная клизма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Микроклизма лекарственная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Тюбаж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Мониторная очистка кишечника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Аромафитобочка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минут вся процедура)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брюшной полости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малого таза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ДЕЖУРНОГО ВРАЧА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мед обследование для женщин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мед обследование для мужчин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медосмотр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Детоксикационная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Сауна 1 час (до 22-00 час) дети до 5 лет б/оплаты.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1 час 1 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1 час ребенок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Сауна  1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 (после 22-00 часа)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1 час </w:t>
            </w:r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5D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1 </w:t>
            </w:r>
            <w:proofErr w:type="spellStart"/>
            <w:proofErr w:type="gram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группой отделения РДТ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4D38EF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1 час ребенок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8EF" w:rsidRPr="007579CF" w:rsidTr="004D38EF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D38E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38EF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0E1" w:rsidRPr="007579CF" w:rsidTr="004D38EF">
        <w:trPr>
          <w:trHeight w:val="315"/>
        </w:trPr>
        <w:tc>
          <w:tcPr>
            <w:tcW w:w="3543" w:type="dxa"/>
            <w:gridSpan w:val="3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АВТОСТОЯНКА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стоянка холодная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30 мин.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E6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1 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факса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Росси и ближнего зарубежья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ксерокса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бумаги за 1 лист, А3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бумаги за 1 лист, А3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бумаги за 1 лист, А4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бумаги за 1 лист, А4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принтера (распечатка на цветном принтере)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бумаги за 1 лист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бумаги за 1 лист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сканера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бумаги за 1 лист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бумаги за 1 лист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ренда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r w:rsidR="00AE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еренц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1 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5D486B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0E1" w:rsidRPr="007579CF" w:rsidTr="00AE00E1">
        <w:trPr>
          <w:trHeight w:val="330"/>
        </w:trPr>
        <w:tc>
          <w:tcPr>
            <w:tcW w:w="47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4D38EF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ренда </w:t>
            </w:r>
            <w:proofErr w:type="spellStart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r w:rsidR="00AE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еренц</w:t>
            </w:r>
            <w:proofErr w:type="spellEnd"/>
            <w:r w:rsidR="00AE00E1"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1 час после 21-00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00E1" w:rsidRPr="007579CF" w:rsidRDefault="00AE00E1" w:rsidP="00AE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D83D58" w:rsidRDefault="00D83D58" w:rsidP="00D83D58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</w:pPr>
      <w:r w:rsidRPr="00D83D58"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  <w:lastRenderedPageBreak/>
        <w:t xml:space="preserve"> </w:t>
      </w:r>
    </w:p>
    <w:p w:rsidR="00D83D58" w:rsidRPr="00D83D58" w:rsidRDefault="00D83D58" w:rsidP="00D83D58">
      <w:pPr>
        <w:rPr>
          <w:rFonts w:ascii="Times New Roman" w:hAnsi="Times New Roman" w:cs="Times New Roman"/>
          <w:b/>
          <w:i/>
          <w:color w:val="215868" w:themeColor="accent5" w:themeShade="80"/>
          <w:sz w:val="60"/>
          <w:szCs w:val="60"/>
        </w:rPr>
      </w:pPr>
    </w:p>
    <w:sectPr w:rsidR="00D83D58" w:rsidRPr="00D83D58" w:rsidSect="00D83D5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B4"/>
    <w:rsid w:val="003373F0"/>
    <w:rsid w:val="004D38EF"/>
    <w:rsid w:val="005C7138"/>
    <w:rsid w:val="005D486B"/>
    <w:rsid w:val="007D62F6"/>
    <w:rsid w:val="00A456F4"/>
    <w:rsid w:val="00AC2AB4"/>
    <w:rsid w:val="00AE00E1"/>
    <w:rsid w:val="00B4058B"/>
    <w:rsid w:val="00B6204F"/>
    <w:rsid w:val="00C579A5"/>
    <w:rsid w:val="00D83D58"/>
    <w:rsid w:val="00E61714"/>
    <w:rsid w:val="00E7665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D39E2-43D8-4058-9F15-A026A3B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D58"/>
    <w:rPr>
      <w:color w:val="800080"/>
      <w:u w:val="single"/>
    </w:rPr>
  </w:style>
  <w:style w:type="paragraph" w:customStyle="1" w:styleId="font5">
    <w:name w:val="font5"/>
    <w:basedOn w:val="a"/>
    <w:rsid w:val="00D8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8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83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D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D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3D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83D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3D5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D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83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83D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3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3D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3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3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83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83D5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3D5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83D5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3D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3D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3D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83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3D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3D5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83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83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83D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83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83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83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D83D5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83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83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83D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83D5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3D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83D5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83D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83D5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83D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83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83D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83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83D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83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83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83D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83D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83D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83D5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3D5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3D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83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Маркетолог</cp:lastModifiedBy>
  <cp:revision>12</cp:revision>
  <dcterms:created xsi:type="dcterms:W3CDTF">2017-06-28T01:26:00Z</dcterms:created>
  <dcterms:modified xsi:type="dcterms:W3CDTF">2018-01-16T03:45:00Z</dcterms:modified>
</cp:coreProperties>
</file>